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B3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p>
      <w:pPr>
        <w:spacing w:after="0"/>
      </w:pPr>
    </w:p>
    <w:p>
      <w:pPr>
        <w:spacing w:before="1000"/>
      </w:pPr>
      <w:r>
        <w:rPr>
          <w:rFonts w:ascii="Aptos" w:hAnsi="Aptos"/>
          <w:b/>
          <w:color w:val="2F8A75"/>
          <w:sz w:val="32"/>
        </w:rPr>
        <w:t>ClearCFO</w:t>
      </w:r>
    </w:p>
    <w:p>
      <w:pPr>
        <w:pStyle w:val="Title"/>
        <w:spacing w:before="400"/>
      </w:pPr>
      <w:r>
        <w:t>Executive Summary &amp;</w:t>
        <w:br/>
        <w:t>Management Reporting Template</w:t>
      </w:r>
    </w:p>
    <w:p>
      <w:pPr>
        <w:spacing w:before="200"/>
      </w:pPr>
      <w:r>
        <w:rPr>
          <w:color w:val="66736F"/>
          <w:sz w:val="26"/>
        </w:rPr>
        <w:t>A reusable reporting format for founders, finance teams and CFOs.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EAF4EF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r>
              <w:rPr>
                <w:b/>
                <w:color w:val="173B35"/>
                <w:sz w:val="22"/>
              </w:rPr>
              <w:t>ClearCFO reporting principle</w:t>
              <w:br/>
            </w:r>
            <w:r>
              <w:rPr>
                <w:b/>
                <w:color w:val="1F2933"/>
                <w:sz w:val="18"/>
              </w:rPr>
              <w:t>FACT -&gt; HYPOTHESIS -&gt; EVIDENCE -&gt; QUANTIFIED IMPACT -&gt; ACTION -&gt; OWNER -&gt; FOLLOW-UP</w:t>
            </w:r>
          </w:p>
        </w:tc>
      </w:tr>
    </w:tbl>
    <w:p>
      <w:pPr>
        <w:spacing w:before="480"/>
      </w:pPr>
      <w:r>
        <w:rPr>
          <w:b/>
          <w:color w:val="173B35"/>
          <w:sz w:val="24"/>
        </w:rPr>
        <w:t>How to use this template</w:t>
      </w:r>
    </w:p>
    <w:p>
      <w:pPr>
        <w:spacing w:after="100"/>
        <w:ind w:left="259"/>
      </w:pPr>
      <w:r>
        <w:rPr>
          <w:color w:val="2F8A75"/>
        </w:rPr>
        <w:t xml:space="preserve">• </w:t>
      </w:r>
      <w:r>
        <w:t>Replace bracketed placeholders with company-specific facts and figures.</w:t>
      </w:r>
    </w:p>
    <w:p>
      <w:pPr>
        <w:spacing w:after="100"/>
        <w:ind w:left="259"/>
      </w:pPr>
      <w:r>
        <w:rPr>
          <w:color w:val="2F8A75"/>
        </w:rPr>
        <w:t xml:space="preserve">• </w:t>
      </w:r>
      <w:r>
        <w:t>Do not present a suspected root cause as fact unless evidence supports it.</w:t>
      </w:r>
    </w:p>
    <w:p>
      <w:pPr>
        <w:spacing w:after="100"/>
        <w:ind w:left="259"/>
      </w:pPr>
      <w:r>
        <w:rPr>
          <w:color w:val="2F8A75"/>
        </w:rPr>
        <w:t xml:space="preserve">• </w:t>
      </w:r>
      <w:r>
        <w:t>Quantify the cash, EBITDA, revenue or risk impact wherever reasonably possible.</w:t>
      </w:r>
    </w:p>
    <w:p>
      <w:pPr>
        <w:spacing w:after="100"/>
        <w:ind w:left="259"/>
      </w:pPr>
      <w:r>
        <w:rPr>
          <w:color w:val="2F8A75"/>
        </w:rPr>
        <w:t xml:space="preserve">• </w:t>
      </w:r>
      <w:r>
        <w:t>End each material finding with an action, accountable owner, due date and success measure.</w:t>
      </w:r>
    </w:p>
    <w:p>
      <w:pPr>
        <w:spacing w:after="100"/>
        <w:ind w:left="259"/>
      </w:pPr>
      <w:r>
        <w:rPr>
          <w:color w:val="2F8A75"/>
        </w:rPr>
        <w:t xml:space="preserve">• </w:t>
      </w:r>
      <w:r>
        <w:t>Use the first summary page in monthly management, lender or board reporting.</w:t>
      </w:r>
    </w:p>
    <w:p>
      <w:pPr>
        <w:spacing w:before="1100"/>
        <w:jc w:val="center"/>
      </w:pPr>
      <w:r>
        <w:rPr>
          <w:b/>
          <w:color w:val="173B35"/>
          <w:sz w:val="24"/>
        </w:rPr>
        <w:t>Financial data. CFO-level decisions.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B3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Monthly Executive Summary</w:t>
      </w:r>
    </w:p>
    <w:p>
      <w:pPr>
        <w:spacing w:after="200"/>
      </w:pPr>
      <w:r>
        <w:rPr>
          <w:color w:val="66736F"/>
          <w:sz w:val="18"/>
        </w:rPr>
        <w:t>[Company]  |  [Reporting period]  |  [Currency / units]  |  [Draft / Reviewed / Approved]</w:t>
      </w:r>
    </w:p>
    <w:p>
      <w:pPr>
        <w:spacing w:before="100" w:after="100"/>
      </w:pPr>
      <w:r>
        <w:rPr>
          <w:rFonts w:ascii="Aptos" w:hAnsi="Aptos"/>
          <w:b/>
          <w:color w:val="2F8A75"/>
          <w:sz w:val="20"/>
        </w:rPr>
        <w:t>1. KPI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2088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Metric</w:t>
            </w:r>
          </w:p>
        </w:tc>
        <w:tc>
          <w:tcPr>
            <w:tcW w:type="dxa" w:w="1224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Current</w:t>
            </w:r>
          </w:p>
        </w:tc>
        <w:tc>
          <w:tcPr>
            <w:tcW w:type="dxa" w:w="1224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Prior</w:t>
            </w:r>
          </w:p>
        </w:tc>
        <w:tc>
          <w:tcPr>
            <w:tcW w:type="dxa" w:w="1224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Budget</w:t>
            </w:r>
          </w:p>
        </w:tc>
        <w:tc>
          <w:tcPr>
            <w:tcW w:type="dxa" w:w="1368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Variance</w:t>
            </w:r>
          </w:p>
        </w:tc>
        <w:tc>
          <w:tcPr>
            <w:tcW w:type="dxa" w:w="2952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Management signal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Revenue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/ %]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[Positive / Watch / Critical]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EBITDA / Margin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/ %]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/ %]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/ %]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/ bps]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[signal]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Closing Cash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[signal]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Operating NWC / CCC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/ days]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[signal]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13W Min Headroom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[₹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[threshold]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 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[signal]</w:t>
            </w:r>
          </w:p>
        </w:tc>
      </w:tr>
    </w:tbl>
    <w:p>
      <w:pPr>
        <w:spacing w:before="100" w:after="100"/>
      </w:pPr>
      <w:r>
        <w:rPr>
          <w:rFonts w:ascii="Aptos" w:hAnsi="Aptos"/>
          <w:b/>
          <w:color w:val="2F8A75"/>
          <w:sz w:val="20"/>
        </w:rPr>
        <w:t>2. TOP MANAGEMENT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1152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Priority</w:t>
            </w:r>
          </w:p>
        </w:tc>
        <w:tc>
          <w:tcPr>
            <w:tcW w:type="dxa" w:w="2880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What happened - fact</w:t>
            </w:r>
          </w:p>
        </w:tc>
        <w:tc>
          <w:tcPr>
            <w:tcW w:type="dxa" w:w="2736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Root cause / hypothesis</w:t>
            </w:r>
          </w:p>
        </w:tc>
        <w:tc>
          <w:tcPr>
            <w:tcW w:type="dxa" w:w="1728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Quantified impact</w:t>
            </w:r>
          </w:p>
        </w:tc>
        <w:tc>
          <w:tcPr>
            <w:tcW w:type="dxa" w:w="3024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Recommendation</w:t>
            </w:r>
          </w:p>
        </w:tc>
      </w:tr>
      <w:tr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High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[e.g., AR &gt;60 days increased by ₹28L]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[e.g., delayed approvals in 3 accounts - hypothesis until tested]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[₹28L cash tied up]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[Assign owners; resolve top overdue invoices]</w:t>
            </w:r>
          </w:p>
        </w:tc>
      </w:tr>
      <w:tr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High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[e.g., GM 130 bps below budget]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[Price / mix / cost bridge required]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[~₹16L monthly EBITDA gap]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[Complete bridge before commercial action]</w:t>
            </w:r>
          </w:p>
        </w:tc>
      </w:tr>
      <w:tr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Medium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[e.g., DIO rose 52 -&gt; 61 days]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[Test slow-moving SKUs / purchase pattern]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[~₹22L cash tied up]</w:t>
            </w:r>
          </w:p>
        </w:tc>
        <w:tc>
          <w:tcPr>
            <w:tcW w:type="dxa" w:w="207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[Rephase purchases; set inventory target]</w:t>
            </w:r>
          </w:p>
        </w:tc>
      </w:tr>
    </w:tbl>
    <w:p>
      <w:pPr>
        <w:spacing w:before="100" w:after="100"/>
      </w:pPr>
      <w:r>
        <w:rPr>
          <w:rFonts w:ascii="Aptos" w:hAnsi="Aptos"/>
          <w:b/>
          <w:color w:val="2F8A75"/>
          <w:sz w:val="20"/>
        </w:rPr>
        <w:t>3. DECISIONS REQUIRED THIS MONTH</w:t>
      </w:r>
    </w:p>
    <w:p>
      <w:pPr>
        <w:spacing w:after="80"/>
      </w:pPr>
      <w:r>
        <w:rPr>
          <w:color w:val="2F8A75"/>
        </w:rPr>
        <w:t xml:space="preserve">□ </w:t>
      </w:r>
      <w:r>
        <w:t>[Decision 1 - owner / deadline]</w:t>
      </w:r>
    </w:p>
    <w:p>
      <w:pPr>
        <w:spacing w:after="80"/>
      </w:pPr>
      <w:r>
        <w:rPr>
          <w:color w:val="2F8A75"/>
        </w:rPr>
        <w:t xml:space="preserve">□ </w:t>
      </w:r>
      <w:r>
        <w:t>[Decision 2 - owner / deadline]</w:t>
      </w:r>
    </w:p>
    <w:p>
      <w:pPr>
        <w:spacing w:after="80"/>
      </w:pPr>
      <w:r>
        <w:rPr>
          <w:color w:val="2F8A75"/>
        </w:rPr>
        <w:t xml:space="preserve">□ </w:t>
      </w:r>
      <w:r>
        <w:t>[Decision 3 - owner / deadline]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B3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Management Commentary Format</w:t>
      </w:r>
    </w:p>
    <w:p>
      <w:pPr>
        <w:spacing w:after="160"/>
      </w:pPr>
      <w:r>
        <w:rPr>
          <w:color w:val="66736F"/>
        </w:rPr>
        <w:t>Use the same structure for revenue, margin, cost, working capital, cash and forecast commentary.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AF4E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B35"/>
                <w:sz w:val="17"/>
              </w:rPr>
              <w:t>WHAT CHANGED</w:t>
            </w:r>
          </w:p>
        </w:tc>
        <w:tc>
          <w:tcPr>
            <w:tcW w:type="dxa" w:w="3456"/>
            <w:shd w:fill="F7F5F0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State the movement and comparison period.</w:t>
            </w:r>
          </w:p>
        </w:tc>
        <w:tc>
          <w:tcPr>
            <w:tcW w:type="dxa" w:w="3456"/>
            <w:shd w:fill="FFFFF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Example: Revenue increased 5.9% MoM and was 2.5% above budget.</w:t>
            </w:r>
          </w:p>
        </w:tc>
      </w:tr>
      <w:tr>
        <w:tc>
          <w:tcPr>
            <w:tcW w:type="dxa" w:w="3456"/>
            <w:shd w:fill="EAF4E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B35"/>
                <w:sz w:val="17"/>
              </w:rPr>
              <w:t>WHY</w:t>
            </w:r>
          </w:p>
        </w:tc>
        <w:tc>
          <w:tcPr>
            <w:tcW w:type="dxa" w:w="3456"/>
            <w:shd w:fill="F7F5F0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State evidence or label it as a hypothesis.</w:t>
            </w:r>
          </w:p>
        </w:tc>
        <w:tc>
          <w:tcPr>
            <w:tcW w:type="dxa" w:w="3456"/>
            <w:shd w:fill="FFFFF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Example: Customer/product mix may explain the margin movement; complete the driver bridge before concluding.</w:t>
            </w:r>
          </w:p>
        </w:tc>
      </w:tr>
      <w:tr>
        <w:tc>
          <w:tcPr>
            <w:tcW w:type="dxa" w:w="3456"/>
            <w:shd w:fill="EAF4E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B35"/>
                <w:sz w:val="17"/>
              </w:rPr>
              <w:t>SO WHAT</w:t>
            </w:r>
          </w:p>
        </w:tc>
        <w:tc>
          <w:tcPr>
            <w:tcW w:type="dxa" w:w="3456"/>
            <w:shd w:fill="F7F5F0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Quantify why management should care.</w:t>
            </w:r>
          </w:p>
        </w:tc>
        <w:tc>
          <w:tcPr>
            <w:tcW w:type="dxa" w:w="3456"/>
            <w:shd w:fill="FFFFF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Example: The 130 bps margin gap is approximately ₹16L of monthly EBITDA.</w:t>
            </w:r>
          </w:p>
        </w:tc>
      </w:tr>
      <w:tr>
        <w:tc>
          <w:tcPr>
            <w:tcW w:type="dxa" w:w="3456"/>
            <w:shd w:fill="EAF4E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B35"/>
                <w:sz w:val="17"/>
              </w:rPr>
              <w:t>ACTION</w:t>
            </w:r>
          </w:p>
        </w:tc>
        <w:tc>
          <w:tcPr>
            <w:tcW w:type="dxa" w:w="3456"/>
            <w:shd w:fill="F7F5F0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Specify the response, owner and due date.</w:t>
            </w:r>
          </w:p>
        </w:tc>
        <w:tc>
          <w:tcPr>
            <w:tcW w:type="dxa" w:w="3456"/>
            <w:shd w:fill="FFFFF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Example: Commercial CFO to complete price/mix/volume/cost bridge by 10-Oct.</w:t>
            </w:r>
          </w:p>
        </w:tc>
      </w:tr>
      <w:tr>
        <w:tc>
          <w:tcPr>
            <w:tcW w:type="dxa" w:w="3456"/>
            <w:shd w:fill="EAF4E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B35"/>
                <w:sz w:val="17"/>
              </w:rPr>
              <w:t>FOLLOW-UP</w:t>
            </w:r>
          </w:p>
        </w:tc>
        <w:tc>
          <w:tcPr>
            <w:tcW w:type="dxa" w:w="3456"/>
            <w:shd w:fill="F7F5F0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7"/>
              </w:rPr>
              <w:t>Define the measure and next review.</w:t>
            </w:r>
          </w:p>
        </w:tc>
        <w:tc>
          <w:tcPr>
            <w:tcW w:type="dxa" w:w="3456"/>
            <w:shd w:fill="FFFFFF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Example: Track margin recovery and realised impact in the next monthly review.</w:t>
            </w:r>
          </w:p>
        </w:tc>
      </w:tr>
    </w:tbl>
    <w:p>
      <w:pPr>
        <w:spacing w:before="100" w:after="100"/>
      </w:pPr>
      <w:r>
        <w:rPr>
          <w:rFonts w:ascii="Aptos" w:hAnsi="Aptos"/>
          <w:b/>
          <w:color w:val="2F8A75"/>
          <w:sz w:val="20"/>
        </w:rPr>
        <w:t>COMMENTARY QUALITY GATE</w:t>
      </w:r>
    </w:p>
    <w:p>
      <w:pPr>
        <w:spacing w:after="60"/>
      </w:pPr>
      <w:r>
        <w:rPr>
          <w:color w:val="2F8A75"/>
        </w:rPr>
        <w:t xml:space="preserve">□ </w:t>
      </w:r>
      <w:r>
        <w:t>Is the statement a verified fact, an assumption or a hypothesis?</w:t>
      </w:r>
    </w:p>
    <w:p>
      <w:pPr>
        <w:spacing w:after="60"/>
      </w:pPr>
      <w:r>
        <w:rPr>
          <w:color w:val="2F8A75"/>
        </w:rPr>
        <w:t xml:space="preserve">□ </w:t>
      </w:r>
      <w:r>
        <w:t>Does the root-cause statement have customer/product/vendor/operational evidence?</w:t>
      </w:r>
    </w:p>
    <w:p>
      <w:pPr>
        <w:spacing w:after="60"/>
      </w:pPr>
      <w:r>
        <w:rPr>
          <w:color w:val="2F8A75"/>
        </w:rPr>
        <w:t xml:space="preserve">□ </w:t>
      </w:r>
      <w:r>
        <w:t>Is the material impact quantified in rupees, margin basis points, days or another decision metric?</w:t>
      </w:r>
    </w:p>
    <w:p>
      <w:pPr>
        <w:spacing w:after="60"/>
      </w:pPr>
      <w:r>
        <w:rPr>
          <w:color w:val="2F8A75"/>
        </w:rPr>
        <w:t xml:space="preserve">□ </w:t>
      </w:r>
      <w:r>
        <w:t>Does the action specify owner, due date and expected outcome?</w:t>
      </w:r>
    </w:p>
    <w:p>
      <w:pPr>
        <w:spacing w:after="60"/>
      </w:pPr>
      <w:r>
        <w:rPr>
          <w:color w:val="2F8A75"/>
        </w:rPr>
        <w:t xml:space="preserve">□ </w:t>
      </w:r>
      <w:r>
        <w:t>Will the next report show realised impact separately from expected impact?</w:t>
      </w:r>
    </w:p>
    <w:p>
      <w:pPr>
        <w:spacing w:before="100" w:after="100"/>
      </w:pPr>
      <w:r>
        <w:rPr>
          <w:rFonts w:ascii="Aptos" w:hAnsi="Aptos"/>
          <w:b/>
          <w:color w:val="2F8A75"/>
          <w:sz w:val="20"/>
        </w:rPr>
        <w:t>30 / 60 / 90-DAY ACTION FORMAT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080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Priority</w:t>
            </w:r>
          </w:p>
        </w:tc>
        <w:tc>
          <w:tcPr>
            <w:tcW w:type="dxa" w:w="3528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Action</w:t>
            </w:r>
          </w:p>
        </w:tc>
        <w:tc>
          <w:tcPr>
            <w:tcW w:type="dxa" w:w="1656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Owner</w:t>
            </w:r>
          </w:p>
        </w:tc>
        <w:tc>
          <w:tcPr>
            <w:tcW w:type="dxa" w:w="1152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Due</w:t>
            </w:r>
          </w:p>
        </w:tc>
        <w:tc>
          <w:tcPr>
            <w:tcW w:type="dxa" w:w="2232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Success measure</w:t>
            </w:r>
          </w:p>
        </w:tc>
        <w:tc>
          <w:tcPr>
            <w:tcW w:type="dxa" w:w="1656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[H/M/L]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[action]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[owner]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[date]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[metric / ₹ benefit]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[status]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[H/M/L]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[action]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[owner]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[date]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[metric / ₹ benefit]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[status]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[H/M/L]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[action]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[owner]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[date]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[metric / ₹ benefit]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[status]</w:t>
            </w:r>
          </w:p>
        </w:tc>
      </w:tr>
      <w:tr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[H/M/L]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[action]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[owner]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[date]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[metric / ₹ benefit]</w:t>
            </w:r>
          </w:p>
        </w:tc>
        <w:tc>
          <w:tcPr>
            <w:tcW w:type="dxa" w:w="1728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[status]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B3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Recommended Monthly Reporting Format</w:t>
      </w:r>
    </w:p>
    <w:p>
      <w:r>
        <w:rPr>
          <w:color w:val="66736F"/>
        </w:rPr>
        <w:t>Keep the pack short enough to drive a management conversation. Detailed schedules belong in the appendix.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792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Page</w:t>
            </w:r>
          </w:p>
        </w:tc>
        <w:tc>
          <w:tcPr>
            <w:tcW w:type="dxa" w:w="2592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Section</w:t>
            </w:r>
          </w:p>
        </w:tc>
        <w:tc>
          <w:tcPr>
            <w:tcW w:type="dxa" w:w="3744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Core question</w:t>
            </w:r>
          </w:p>
        </w:tc>
        <w:tc>
          <w:tcPr>
            <w:tcW w:type="dxa" w:w="4896"/>
            <w:shd w:fill="2F8A7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Minimum content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1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Executive Summary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What needs management attention now?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5 KPIs; 3 findings; decisions; top actions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2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Performance Dashboard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What changed?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Revenue, margin, EBITDA, cash, NWC; plan variance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3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Revenue &amp; Margin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Why did growth / margin move?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Price / mix / volume / cost or equivalent driver bridge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4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Opex &amp; EBITDA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Which costs explain EBITDA?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Material cost variances; recurring vs one-off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5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Working Capital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Where is cash tied up?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DSO/DIO/DPO/CCC; AR/AP priorities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6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Cash &amp; Liquidity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When could cash get tight?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Cash bridge; 13-week headroom; major receipts/payments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7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Forecast / Scenarios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What has changed vs plan?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Latest forecast; base/upside/downside; trigger points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8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Risks &amp; Decisions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What must management decide?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Risk; evidence; impact; decision owner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9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30/60/90 Actions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Who owns follow-through?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Action; owner; due date; success measure; realised benefit</w:t>
            </w:r>
          </w:p>
        </w:tc>
      </w:tr>
      <w:tr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10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Appendix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What supports the conclusions?</w:t>
            </w:r>
          </w:p>
        </w:tc>
        <w:tc>
          <w:tcPr>
            <w:tcW w:type="dxa" w:w="2592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Detailed statements, aging, schedules and reconciliations</w:t>
            </w:r>
          </w:p>
        </w:tc>
      </w:tr>
    </w:tbl>
    <w:p>
      <w:pPr>
        <w:spacing w:before="100" w:after="100"/>
      </w:pPr>
      <w:r>
        <w:rPr>
          <w:rFonts w:ascii="Aptos" w:hAnsi="Aptos"/>
          <w:b/>
          <w:color w:val="2F8A75"/>
          <w:sz w:val="20"/>
        </w:rPr>
        <w:t>BEFORE PUBLISHING THE PACK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□ Books closed and TB balanced</w:t>
            </w:r>
          </w:p>
        </w:tc>
        <w:tc>
          <w:tcPr>
            <w:tcW w:type="dxa" w:w="518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□ Unsupported root causes labelled as hypotheses</w:t>
            </w:r>
          </w:p>
        </w:tc>
      </w:tr>
      <w:tr>
        <w:tc>
          <w:tcPr>
            <w:tcW w:type="dxa" w:w="518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□ No material unmapped GLs</w:t>
            </w:r>
          </w:p>
        </w:tc>
        <w:tc>
          <w:tcPr>
            <w:tcW w:type="dxa" w:w="518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□ Top actions have owner + due date + success measure</w:t>
            </w:r>
          </w:p>
        </w:tc>
      </w:tr>
      <w:tr>
        <w:tc>
          <w:tcPr>
            <w:tcW w:type="dxa" w:w="518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□ AR/AP reconciled to GL</w:t>
            </w:r>
          </w:p>
        </w:tc>
        <w:tc>
          <w:tcPr>
            <w:tcW w:type="dxa" w:w="518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□ As-of date, version and confidentiality checked</w:t>
            </w:r>
          </w:p>
        </w:tc>
      </w:tr>
      <w:tr>
        <w:tc>
          <w:tcPr>
            <w:tcW w:type="dxa" w:w="518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□ Material variances explained or explicitly marked unknown</w:t>
            </w:r>
          </w:p>
        </w:tc>
        <w:tc>
          <w:tcPr>
            <w:tcW w:type="dxa" w:w="5184"/>
            <w:vAlign w:val="top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D7DFDC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F2933"/>
                <w:sz w:val="16"/>
              </w:rPr>
              <w:t>□ CFO / management review completed</w:t>
            </w:r>
          </w:p>
        </w:tc>
      </w:tr>
    </w:tbl>
    <w:p>
      <w:pPr>
        <w:spacing w:before="280"/>
        <w:jc w:val="center"/>
      </w:pPr>
      <w:r>
        <w:rPr>
          <w:b/>
          <w:color w:val="173B35"/>
          <w:sz w:val="24"/>
        </w:rPr>
        <w:t>A number is the beginning. A decision is the point.</w:t>
      </w:r>
    </w:p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736F"/>
        <w:sz w:val="15"/>
      </w:rPr>
      <w:t>ClearCFO   |   Financial data. CFO-level decisions.   |   Confidential - Management Use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F29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B3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73B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B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